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Piaţa accesoriilor de Crăciun cumpărate </w:t>
      </w:r>
      <w:r w:rsidDel="00000000" w:rsidR="00000000" w:rsidRPr="00000000">
        <w:rPr>
          <w:b w:val="1"/>
          <w:rtl w:val="0"/>
        </w:rPr>
        <w:t xml:space="preserve">en-gros</w:t>
      </w:r>
      <w:r w:rsidDel="00000000" w:rsidR="00000000" w:rsidRPr="00000000">
        <w:rPr>
          <w:rtl w:val="0"/>
        </w:rPr>
        <w:t xml:space="preserve"> a evoluat, în ultimul deceniu, dintr-un segment „de sezon” aflat la periferia marilor lanţuri de retail într-un motor global de consum evaluat la aproape 8,9 miliarde USD în 2025, cu perspective de a depăşi 13 miliarde USD până în 2034, pe fondul unei creşteri medii anuale de circa 4,5 % – ritm care bate confortabil inflaţia şi explică de ce fondurile de private-equity includ azi decoraţiunile festive în portofoliile lor axate pe „everyday essentials” şi home &amp; garden. Această expansiune continuă este alimentată de convergenţa a trei tendinţe majore: tehnologizarea rapidă a iluminatului LED inteligent, creşterea apetitului pentru materiale sustenabile (PVC-free, carton reciclabil, textile din bumbac organic) şi profesionalizarea marketingului emoţional, care transformă fiecare ornament într-un vehicul de storytelling social-media. În 2025, raportările Custom Market Insights şi Global Growth Insights stabilesc pentru prima dată paritatea valorică dintre decoraţiunile de interior şi cele de exterior, semn că firmele investesc la fel de mult în vitrină sau faţadă cât investesc în pomul din living, iar rezultatul se vede în comenzi B2B tot mai mari, plasate încă din primăvară, pentru globuri de sticlă pictate manual, figurine gonflabile „self-inflating” şi instalaţii Wi-Fi compatibile cu Matter, standardul-umbrelă al smart-home-ului european.</w:t>
      </w:r>
    </w:p>
    <w:p w:rsidR="00000000" w:rsidDel="00000000" w:rsidP="00000000" w:rsidRDefault="00000000" w:rsidRPr="00000000" w14:paraId="00000002">
      <w:pPr>
        <w:spacing w:after="240" w:before="240" w:lineRule="auto"/>
        <w:rPr>
          <w:color w:val="1155cc"/>
          <w:u w:val="single"/>
        </w:rPr>
      </w:pPr>
      <w:r w:rsidDel="00000000" w:rsidR="00000000" w:rsidRPr="00000000">
        <w:rPr>
          <w:rtl w:val="0"/>
        </w:rPr>
        <w:t xml:space="preserve">Pentru antreprenorii din România, miza nu e doar globală, ci foarte concretă: dependenţa structurală de import face ca disponibilitatea stocului şi preţul de raft să fie dictate de vânturile comerţului maritim. În absenţa unor producători locali la scară industrială – UN Comtrade nu listează România în primele 30 de exportatori de ornamente, iar datele INS arată un salt al deficitului comercial tocmai în lunile octombrie-decembrie, când decoraţiunile ajung pe graniţă – importatorii care nu blochează volume până la 31 iulie ajung să plătească prime de urgenţă ce pot urca costul total cu 40 %, erodând din start marja teoretică. Piaţa internă se sprijină pe hub-urile logistice Rotterdam şi Gdańsk, respectiv pe depozitele intermediare din Ilfov, aşa că fiecare container ajuns târziu în portul Constanţa produce un efect domino: taxă de demuraj, cost suplimentar de camion, întârziere la listarea în marketplace-uri şi, inevitabil, discount forţat în decembrie pentru a elibera capitalul blocat. De aceea, planificarea începe în aprilie: scouting de trenduri la evenimente de profil (Christmasworld Frankfurt), cerere de mostre în mai, negociere volum &amp; preţ în iunie, iar în iulie se achită avansul de 15 % şi se rezervă slotul de producţie – o disciplină financiară care, odată însuşită, face diferenţa dintre un sezon profitabil şi unul la limită.</w:t>
      </w:r>
      <w:hyperlink r:id="rId6">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03">
      <w:pPr>
        <w:spacing w:after="240" w:before="240" w:lineRule="auto"/>
        <w:rPr>
          <w:color w:val="1155cc"/>
          <w:u w:val="single"/>
        </w:rPr>
      </w:pPr>
      <w:r w:rsidDel="00000000" w:rsidR="00000000" w:rsidRPr="00000000">
        <w:rPr>
          <w:rtl w:val="0"/>
        </w:rPr>
        <w:t xml:space="preserve">Această exigenţă cu calendarul a devenit şi mai acută după criza maritimă din Marea Roşie: de la sfârşitul lui 2023 până în toamna lui 2024, rebelii Houthi au revendicat peste 190 de atacuri împotriva navelor comerciale, obligând operatori precum Maersk să devieze rutele prin Capul Bunei Speranţe, ceea ce a prelungit tranzitul cu aproximativ două săptămâni şi a majorat tarifele de asigurare şi bunker cu două cifre procentuale. În 2024, compania daneză estima că perturbările pot persista până în semestrul al doilea din 2025; între timp, retailerii europeni au fost nevoiţi să suplimenteze capacitatea navloră cu 6 % pentru a compensa ocolul Africii, iar consecinţele s-au simţit direct în costul lămpilor decorative, al ghirlandelor textile şi – paradoxal – al bradului artificial, categorie a cărei marfă provine într-o proporţie covârşitoare din estul Asiei. În iunie 2024, chiar şi un lanţ britanic de mobilă a emis profit warning din cauza creşterii costurilor de shipping, confirmând că obstacolele geopolitice pot penetra cele mai diverse verticale. Pentru comercianţii români, lecţia e simplă: roagă furnizorul să pună marfa pe vas până la cut-off-ul din 15 august sau plăteşte costuri premium pentru transport feroviar Xi’an-Duisburg plus rutier până la Bucureşti.</w:t>
      </w:r>
      <w:hyperlink r:id="rId7">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04">
      <w:pPr>
        <w:spacing w:after="240" w:before="240" w:lineRule="auto"/>
        <w:rPr>
          <w:color w:val="1155cc"/>
          <w:u w:val="single"/>
        </w:rPr>
      </w:pPr>
      <w:r w:rsidDel="00000000" w:rsidR="00000000" w:rsidRPr="00000000">
        <w:rPr>
          <w:rtl w:val="0"/>
        </w:rPr>
        <w:t xml:space="preserve">În privinţa portofoliului, </w:t>
      </w:r>
      <w:hyperlink r:id="rId8">
        <w:r w:rsidDel="00000000" w:rsidR="00000000" w:rsidRPr="00000000">
          <w:rPr>
            <w:color w:val="1155cc"/>
            <w:u w:val="single"/>
            <w:rtl w:val="0"/>
          </w:rPr>
          <w:t xml:space="preserve">accesoriile de Crăciun</w:t>
        </w:r>
      </w:hyperlink>
      <w:r w:rsidDel="00000000" w:rsidR="00000000" w:rsidRPr="00000000">
        <w:rPr>
          <w:rtl w:val="0"/>
        </w:rPr>
        <w:t xml:space="preserve"> se împart, în linii mari, în patru familii ale căror ponderi se echilibrează treptat. Ornamentistica pentru brad – globuri, figurine, beteală, vârfuri – rămâne vedeta emoţională, dar ponderea valorică scade pe măsură ce consumatorul migrează spre ornamente reutilizabile sau handmade. Iluminatul festiv, dimpotrivă, creşte agresiv datorită LED-urilor performante, integrate cu Alexa sau Google Home, dar şi datorită apetenţei pentru show-uri de lumină sincronizate cu muzică, trend ce forţează importatorii să testeze produse smart înainte de listare. Textilele tematice – feţe de masă, şosete, huse de scaun – câştigă teren în Horeca şi spaţiul corporate, unde decorul lavabil şi re-utilizabil e preferat versiunilor din hârtie; iar decorul de exterior (figurine acrilice 3D, proiectoare laser, bannere tip mesh) devine noul diferenţiator al mall-urilor şi al parcurilor de birouri, dornice de Instagram-mability. În spatele acestor mozaicuri de culori stă, însă, o adevărată ştiinţă a forecasting-ului: analize de vânzare pe SKU, metri cubi per container, densitate de stocare pe raft şi, nu în ultimul rând, corelarea cromaticii anului (2025 vede revenirea aqua blue şi burnt orange, spun rapoartele din industrie) cu disponibilitatea materiei prime.</w:t>
      </w:r>
      <w:hyperlink r:id="rId9">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05">
      <w:pPr>
        <w:spacing w:after="240" w:before="240" w:lineRule="auto"/>
        <w:rPr>
          <w:color w:val="1155cc"/>
          <w:u w:val="single"/>
        </w:rPr>
      </w:pPr>
      <w:r w:rsidDel="00000000" w:rsidR="00000000" w:rsidRPr="00000000">
        <w:rPr>
          <w:rtl w:val="0"/>
        </w:rPr>
        <w:t xml:space="preserve">Alegerea furnizorilor devine astfel un exerciţiu de due diligence multidimensional. Nu mai este suficientă oferta de preţ ex-works; marfa trebuie însoţită de certificări ISO 9001 sau BSCI, test de inflamabilitate EN 71-2 pentru textilele sau ornamentele din PVC, respectarea directivelor RoHS şi REACH la instalaţiile electrice şi, tot mai des, dovada că vopseaua metalizată conţine sub 90 ppm plumb, prag aliniat reglementărilor UE pentru produsele care pot ajunge în mâna copiilor. În plus, auditul etic – ore de muncă, salariu minim, absenţa forţei de muncă lohn juvenilă – este solicitat de lanţurile DIY vest-europene şi de marketplace-urile internaţionale ca premisă de listare; lipsa lui poate bloca containerul, iar costul de depozitare într-un port aglomerat bate de departe economiile făcute la negocierea iniţială. Comercianţii orientaţi spre eco-premium adaugă şi certificări complementare: FSC pentru ornamente din lemn, OEKO-TEX pentru textile, garanţie PVC-free glitter, plus menţiunea „eco-friendly cotton” în listing – o etichetă care, potrivit datelor </w:t>
      </w:r>
      <w:hyperlink r:id="rId10">
        <w:r w:rsidDel="00000000" w:rsidR="00000000" w:rsidRPr="00000000">
          <w:rPr>
            <w:color w:val="1155cc"/>
            <w:u w:val="single"/>
            <w:rtl w:val="0"/>
          </w:rPr>
          <w:t xml:space="preserve">BazarulOnline</w:t>
        </w:r>
      </w:hyperlink>
      <w:r w:rsidDel="00000000" w:rsidR="00000000" w:rsidRPr="00000000">
        <w:rPr>
          <w:rtl w:val="0"/>
        </w:rPr>
        <w:t xml:space="preserve">, creşte rata de conversie cu peste 12 % în e-commerce.</w:t>
      </w:r>
      <w:hyperlink r:id="rId11">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Structura costurilor arată diferit la fiecare familie de produse, dar matricea de calcul rămâne aceeaşi: preţ ex-works + transport + asigurare + taxe vamale (unde se aplică) + eco-taxa AFM + manipulare internă + procent de defect. O instalaţie LED de 10 m multicolor, listată la 0,95 € ex-works, ajunge la 1,45 € intrare în depozit după ce adăugăm 0,34 € navlu, 0,01 € asigurare, 4,7 % vamă, 0,80 lei/kg eco-taxă şi 2,4 % rata medie de defect. Dacă retailerul o vinde sub 3 €, marja brută scade sub 40 % – pragul psihologic al unui sezon „reuşit”; de aceea, negocierea adevărată nu se poartă doar pe preţ, ci şi pe servicii adiacente: includerea gratuită a unui set de becuri de rezervă, ambalare compactă tip vacuum (care reduce volumul cu 40 % şi economiseşte la AFM), co-loading cu alte comenzi (groupage) sau clauza „Rate Adjustment” care indexează preţul final dacă navlul creşte peste un anumit nivel. În cazul globurilor de sticlă pictate manual, costul unitar poate părea ridicat – 0,35 € la sursă –, dar potenţialul de marjă este uriaş: un ornament artizanal ajunge la 7–9 € in store, protejat de sentimentul de unicitate şi de narativul „handmade in EU”.</w:t>
      </w:r>
    </w:p>
    <w:p w:rsidR="00000000" w:rsidDel="00000000" w:rsidP="00000000" w:rsidRDefault="00000000" w:rsidRPr="00000000" w14:paraId="00000007">
      <w:pPr>
        <w:spacing w:after="240" w:before="240" w:lineRule="auto"/>
        <w:rPr/>
      </w:pPr>
      <w:r w:rsidDel="00000000" w:rsidR="00000000" w:rsidRPr="00000000">
        <w:rPr>
          <w:rtl w:val="0"/>
        </w:rPr>
        <w:t xml:space="preserve">Ambalajul – componentă adesea neglijată – se dovedeşte, paradoxal, secretul marjei. Globurile de sticlă sunt ambalate acum în structuri „egg-crate” din carton alveolar, care înlocuiesc polistirenul şi reduc masa cu 18 %, deci şi eco-taxa AFM asociată. Textilele pot fi presate în pungi vacuum, coborând volumul până la 60 %; instalaţiile LED, în schimb, câştigă prin micro-packaging şi cod QR către un microsite de reciclare, stratagemă de marketing ce dublează engagement-ul social după livrare. Retailerii care personalizează ambalajul cu logo-ul clientului corporate livrează într-un singur gest produsul, „thank-you card-ul” şi invitaţia la re-order, transformând cutia protector într-un canal de fidelizare.</w:t>
      </w:r>
    </w:p>
    <w:p w:rsidR="00000000" w:rsidDel="00000000" w:rsidP="00000000" w:rsidRDefault="00000000" w:rsidRPr="00000000" w14:paraId="00000008">
      <w:pPr>
        <w:spacing w:after="240" w:before="240" w:lineRule="auto"/>
        <w:rPr/>
      </w:pPr>
      <w:r w:rsidDel="00000000" w:rsidR="00000000" w:rsidRPr="00000000">
        <w:rPr>
          <w:rtl w:val="0"/>
        </w:rPr>
        <w:t xml:space="preserve">Marketingul sezonier s-a profesionalizat la rândul lui, împărţind Q4 în patru ferestre: pre-sale în săptămâna de după 15 octombrie, când primele listări online testează elasticitatea preţului; segmentul Black Friday, unde seturile starter sub 99 lei rulează volum imens şi asigură cash-flow; fereastra de vârf 1–15 decembrie, când instalaţiile smart şi globurile artizanale îşi câştigă prima de preţ; şi, finalmente, perioada last-minute 16–23 decembrie, rezervată pachetelor corporate şi discounturilor pentru stocurile lente. Comercianţii care intră în decembrie cu marfă de rezervă pot direcţiona restul către B2B rapid: spaţii de co-working, hoteluri, târguri de Crăciun, ba chiar pop-up corners în benzinării – canale cu ciclu de decizie ultra-scurt, dispuse să plătească preţ întreg pentru disponibilitate imediată. În paralel, brandurile care adaugă componenta „green” – program „buy one, plant one” sau serviciu de colectare şi reciclare – obţin un ROI suplimentar prin menţiunile media gratuite declanşate de CSR.</w:t>
      </w:r>
    </w:p>
    <w:p w:rsidR="00000000" w:rsidDel="00000000" w:rsidP="00000000" w:rsidRDefault="00000000" w:rsidRPr="00000000" w14:paraId="00000009">
      <w:pPr>
        <w:spacing w:after="240" w:before="240" w:lineRule="auto"/>
        <w:rPr/>
      </w:pPr>
      <w:r w:rsidDel="00000000" w:rsidR="00000000" w:rsidRPr="00000000">
        <w:rPr>
          <w:rtl w:val="0"/>
        </w:rPr>
        <w:t xml:space="preserve">Privind spre 2025–2026, trendurile tehnice şi estetice dau deja semne clare. LED-urile cu cip-uri Matter-ready vor domina gama premium datorită interoperabilităţii cu orice platformă smart-home, iar consumatorii vor primi actualizări de software OTA, prelungind ciclu de viaţă al instalaţiei şi, implicit, justificând un preţ mai mare. Ornamentele „glass-look” din policarbonat reciclabil promit transparenţa şi refracţia sticlei, minus fragilitatea; culorile-vedetă se mută din tradiţionalul roşu-verde spre combinaţii neaşteptate precum teal &amp; burnt orange, validate de casele de trend americane şi adoptate rapid de brandurile mass-market. În exterior, figurinele gonflabile alimentate de motoare brushless silenţioase devin standard, la fel cum proiectorul laser RGB-W 5000 lm înlocuieşte vechea perdea de lumini; toate acestea cer importatorilor români o viteză de adaptare nemaiîntâlnită, altfel riscă să ajungă cu stoc demodat înainte de a-l despacheta.</w:t>
      </w:r>
    </w:p>
    <w:p w:rsidR="00000000" w:rsidDel="00000000" w:rsidP="00000000" w:rsidRDefault="00000000" w:rsidRPr="00000000" w14:paraId="0000000A">
      <w:pPr>
        <w:spacing w:after="240" w:before="240" w:lineRule="auto"/>
        <w:rPr/>
      </w:pPr>
      <w:r w:rsidDel="00000000" w:rsidR="00000000" w:rsidRPr="00000000">
        <w:rPr>
          <w:rtl w:val="0"/>
        </w:rPr>
        <w:t xml:space="preserve">Dincolo de cifre, cheia rămâne disciplina calendarului. Luna aprilie înseamnă research şi shortlist de furnizori; mai-iunie aduc negocierea şi semnarea contractelor, iulie blochează producţia şi navlul, septembrie finalizează formalităţile vamale anticipate, iar octombrie recepţionează, fotografiază şi listează produsele. Cine încearcă să sară o etapă va plăti – fie prin navlu exhorbitant, fie prin stoc fără certificate, fie prin şocul cursului de schimb. Cine, în schimb, tratează accesoriile de Crăciun </w:t>
      </w:r>
      <w:r w:rsidDel="00000000" w:rsidR="00000000" w:rsidRPr="00000000">
        <w:rPr>
          <w:b w:val="1"/>
          <w:rtl w:val="0"/>
        </w:rPr>
        <w:t xml:space="preserve">en-gros</w:t>
      </w:r>
      <w:r w:rsidDel="00000000" w:rsidR="00000000" w:rsidRPr="00000000">
        <w:rPr>
          <w:rtl w:val="0"/>
        </w:rPr>
        <w:t xml:space="preserve"> ca pe un proiect complet – de la forecast la reciclare – îşi poate dubla capitalul în mai puţin de două luni, îşi fidelizează clienţii corporate şi transformă un sezon în aparenţă efemer într-un vector recurent de profit. Într-o piaţă unde emoţia sărbătorilor întâlneşte rigurozitatea supply-chain-ului, realitatea e simplă: marja se decide vara, chiar dacă luminile se aprind abia în decembrie.</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ind w:left="720" w:firstLine="7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cofriendlybliss.com/biodegradable-christmas-ornaments/?utm_source=chatgpt.com" TargetMode="External"/><Relationship Id="rId10" Type="http://schemas.openxmlformats.org/officeDocument/2006/relationships/hyperlink" Target="https://bazarulonline.ro" TargetMode="External"/><Relationship Id="rId9" Type="http://schemas.openxmlformats.org/officeDocument/2006/relationships/hyperlink" Target="https://www.accio.com/business/trend-of-high-end-christmas-lights?utm_source=chatgpt.com" TargetMode="External"/><Relationship Id="rId5" Type="http://schemas.openxmlformats.org/officeDocument/2006/relationships/styles" Target="styles.xml"/><Relationship Id="rId6" Type="http://schemas.openxmlformats.org/officeDocument/2006/relationships/hyperlink" Target="https://www.romania-insider.com/ro-import-foreign-trade-deficit-dec-2024?utm_source=chatgpt.com" TargetMode="External"/><Relationship Id="rId7" Type="http://schemas.openxmlformats.org/officeDocument/2006/relationships/hyperlink" Target="https://atlasinstitute.org/the-red-sea-shipping-crisis-2024-2025-houthi-attacks-and-global-trade-disruption/?utm_source=chatgpt.com" TargetMode="External"/><Relationship Id="rId8" Type="http://schemas.openxmlformats.org/officeDocument/2006/relationships/hyperlink" Target="https://bazarulonline.ro/articole-de-craciun-eng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